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6D6A" w14:textId="77777777" w:rsidR="00C86B29" w:rsidRPr="00C86B29" w:rsidRDefault="00C86B29">
      <w:pPr>
        <w:jc w:val="center"/>
        <w:rPr>
          <w:rStyle w:val="Pogrubienie"/>
          <w:rFonts w:ascii="Montserrat" w:hAnsi="Montserrat"/>
          <w:sz w:val="32"/>
          <w:szCs w:val="32"/>
          <w:lang w:val="pl-PL"/>
        </w:rPr>
      </w:pPr>
    </w:p>
    <w:p w14:paraId="0AF6A365" w14:textId="3596FE58" w:rsidR="00E6670F" w:rsidRPr="00FD6DD9" w:rsidRDefault="00C86B29">
      <w:pPr>
        <w:jc w:val="center"/>
        <w:rPr>
          <w:rFonts w:ascii="Montserrat" w:hAnsi="Montserrat" w:cs="Arial"/>
          <w:b/>
          <w:i/>
          <w:sz w:val="20"/>
          <w:szCs w:val="20"/>
          <w:u w:val="single"/>
          <w:lang w:val="pl-PL"/>
        </w:rPr>
      </w:pPr>
      <w:r>
        <w:rPr>
          <w:rStyle w:val="Pogrubienie"/>
          <w:rFonts w:ascii="Montserrat" w:hAnsi="Montserrat"/>
          <w:sz w:val="32"/>
          <w:szCs w:val="32"/>
          <w:lang w:val="pl-PL"/>
        </w:rPr>
        <w:t>MERCURE TOKAJ CENTER</w:t>
      </w:r>
      <w:r w:rsidR="00DE182C" w:rsidRPr="00FD6DD9">
        <w:rPr>
          <w:rStyle w:val="Pogrubienie"/>
          <w:rFonts w:ascii="Montserrat" w:hAnsi="Montserrat"/>
          <w:sz w:val="32"/>
          <w:szCs w:val="32"/>
          <w:lang w:val="pl-PL"/>
        </w:rPr>
        <w:t xml:space="preserve"> </w:t>
      </w:r>
      <w:r w:rsidR="00D81777">
        <w:rPr>
          <w:rStyle w:val="Pogrubienie"/>
          <w:rFonts w:ascii="Montserrat" w:hAnsi="Montserrat"/>
          <w:sz w:val="32"/>
          <w:szCs w:val="32"/>
          <w:lang w:val="pl-PL"/>
        </w:rPr>
        <w:t xml:space="preserve">GOTOWY NA PRZYJĘCIE PIERWSZYCH GOŚCI </w:t>
      </w:r>
    </w:p>
    <w:p w14:paraId="0AF6A366" w14:textId="2F8354EC" w:rsidR="00E6670F" w:rsidRPr="00FD6DD9" w:rsidRDefault="00E6670F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</w:p>
    <w:p w14:paraId="5C5DB667" w14:textId="77777777" w:rsidR="00BC178A" w:rsidRPr="00FD6DD9" w:rsidRDefault="00BC178A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</w:p>
    <w:p w14:paraId="79241F7A" w14:textId="033C87B4" w:rsidR="00BC178A" w:rsidRPr="00FD6DD9" w:rsidRDefault="00BC178A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  <w:r w:rsidRPr="00FD6DD9">
        <w:rPr>
          <w:rFonts w:ascii="Montserrat" w:eastAsia="MS Gothic" w:hAnsi="Montserrat" w:cs="Arial"/>
          <w:i/>
          <w:noProof/>
          <w:sz w:val="20"/>
          <w:szCs w:val="20"/>
          <w:lang w:val="pl-PL" w:eastAsia="hu-HU"/>
        </w:rPr>
        <w:drawing>
          <wp:inline distT="0" distB="0" distL="0" distR="0" wp14:anchorId="442EBEC3" wp14:editId="51958DE3">
            <wp:extent cx="5760720" cy="32404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gyasztóté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A367" w14:textId="77777777" w:rsidR="00E6670F" w:rsidRPr="00FD6DD9" w:rsidRDefault="00E6670F">
      <w:pPr>
        <w:rPr>
          <w:rFonts w:ascii="Montserrat" w:hAnsi="Montserrat" w:cs="Arial"/>
          <w:b/>
          <w:i/>
          <w:sz w:val="10"/>
          <w:szCs w:val="10"/>
          <w:u w:val="single"/>
          <w:lang w:val="pl-PL"/>
        </w:rPr>
      </w:pPr>
    </w:p>
    <w:p w14:paraId="0AF6A368" w14:textId="77777777" w:rsidR="00E6670F" w:rsidRPr="00FD6DD9" w:rsidRDefault="00E6670F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6C817D6C" w14:textId="61B10C38" w:rsidR="00E25D71" w:rsidRPr="00E25D71" w:rsidRDefault="00FD6DD9" w:rsidP="00E25D71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FD6DD9">
        <w:rPr>
          <w:rFonts w:ascii="Montserrat" w:hAnsi="Montserrat" w:cs="Arial"/>
          <w:b/>
          <w:bCs/>
          <w:iCs/>
          <w:sz w:val="20"/>
          <w:szCs w:val="20"/>
          <w:lang w:val="pl-PL"/>
        </w:rPr>
        <w:t>Warszawa</w:t>
      </w:r>
      <w:r w:rsidR="008E773D" w:rsidRPr="00FD6DD9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, </w:t>
      </w:r>
      <w:r w:rsidR="00B509B4">
        <w:rPr>
          <w:rFonts w:ascii="Montserrat" w:hAnsi="Montserrat" w:cs="Arial"/>
          <w:b/>
          <w:bCs/>
          <w:iCs/>
          <w:sz w:val="20"/>
          <w:szCs w:val="20"/>
          <w:lang w:val="pl-PL"/>
        </w:rPr>
        <w:t>31</w:t>
      </w:r>
      <w:r w:rsidR="008E773D" w:rsidRPr="00FD6DD9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</w:t>
      </w:r>
      <w:r w:rsidR="0064190E">
        <w:rPr>
          <w:rFonts w:ascii="Montserrat" w:hAnsi="Montserrat" w:cs="Arial"/>
          <w:b/>
          <w:bCs/>
          <w:iCs/>
          <w:sz w:val="20"/>
          <w:szCs w:val="20"/>
          <w:lang w:val="pl-PL"/>
        </w:rPr>
        <w:t>m</w:t>
      </w:r>
      <w:r w:rsidR="008E773D" w:rsidRPr="00FD6DD9">
        <w:rPr>
          <w:rFonts w:ascii="Montserrat" w:hAnsi="Montserrat" w:cs="Arial"/>
          <w:b/>
          <w:bCs/>
          <w:iCs/>
          <w:sz w:val="20"/>
          <w:szCs w:val="20"/>
          <w:lang w:val="pl-PL"/>
        </w:rPr>
        <w:t>ar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ca 2022</w:t>
      </w:r>
      <w:r w:rsidR="008E773D" w:rsidRPr="00FD6DD9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– </w:t>
      </w:r>
      <w:r w:rsidR="00E25D71" w:rsidRPr="00E25D71">
        <w:rPr>
          <w:rFonts w:ascii="Montserrat" w:hAnsi="Montserrat" w:cs="Arial"/>
          <w:iCs/>
          <w:sz w:val="20"/>
          <w:szCs w:val="20"/>
          <w:lang w:val="pl-PL"/>
        </w:rPr>
        <w:t>Accor, wiodąca grupa hotel</w:t>
      </w:r>
      <w:r w:rsidR="00C86B29">
        <w:rPr>
          <w:rFonts w:ascii="Montserrat" w:hAnsi="Montserrat" w:cs="Arial"/>
          <w:iCs/>
          <w:sz w:val="20"/>
          <w:szCs w:val="20"/>
          <w:lang w:val="pl-PL"/>
        </w:rPr>
        <w:t>owa na świecie</w:t>
      </w:r>
      <w:r w:rsidR="00E25D71" w:rsidRPr="00E25D71">
        <w:rPr>
          <w:rFonts w:ascii="Montserrat" w:hAnsi="Montserrat" w:cs="Arial"/>
          <w:iCs/>
          <w:sz w:val="20"/>
          <w:szCs w:val="20"/>
          <w:lang w:val="pl-PL"/>
        </w:rPr>
        <w:t xml:space="preserve">, rozszerza portfolio </w:t>
      </w:r>
      <w:r w:rsidR="00C86B29">
        <w:rPr>
          <w:rFonts w:ascii="Montserrat" w:hAnsi="Montserrat" w:cs="Arial"/>
          <w:iCs/>
          <w:sz w:val="20"/>
          <w:szCs w:val="20"/>
          <w:lang w:val="pl-PL"/>
        </w:rPr>
        <w:t>cenionych</w:t>
      </w:r>
      <w:r w:rsidR="00E25D71" w:rsidRPr="00E25D71">
        <w:rPr>
          <w:rFonts w:ascii="Montserrat" w:hAnsi="Montserrat" w:cs="Arial"/>
          <w:iCs/>
          <w:sz w:val="20"/>
          <w:szCs w:val="20"/>
          <w:lang w:val="pl-PL"/>
        </w:rPr>
        <w:t xml:space="preserve"> marek</w:t>
      </w:r>
      <w:r w:rsidR="00C86B29">
        <w:rPr>
          <w:rFonts w:ascii="Montserrat" w:hAnsi="Montserrat" w:cs="Arial"/>
          <w:iCs/>
          <w:sz w:val="20"/>
          <w:szCs w:val="20"/>
          <w:lang w:val="pl-PL"/>
        </w:rPr>
        <w:t xml:space="preserve"> na Węgrzech</w:t>
      </w:r>
      <w:r w:rsidR="00E25D71" w:rsidRPr="00E25D71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  <w:r w:rsidR="00624666">
        <w:rPr>
          <w:rFonts w:ascii="Montserrat" w:hAnsi="Montserrat" w:cs="Arial"/>
          <w:iCs/>
          <w:sz w:val="20"/>
          <w:szCs w:val="20"/>
          <w:lang w:val="pl-PL"/>
        </w:rPr>
        <w:t xml:space="preserve">Grupa </w:t>
      </w:r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właśnie otworzyła hotel </w:t>
      </w:r>
      <w:proofErr w:type="spellStart"/>
      <w:r w:rsidR="00C56657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 w Tokaju, sercu jednego z najsłynniejszych regionów winiarskich w Europie i na świecie. Nowy obiekt będzie pierwszym hotelem </w:t>
      </w:r>
      <w:proofErr w:type="spellStart"/>
      <w:r w:rsidR="00C56657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 poza stolicą Węgier i zarazem czwarty</w:t>
      </w:r>
      <w:r w:rsidR="000561BA">
        <w:rPr>
          <w:rFonts w:ascii="Montserrat" w:hAnsi="Montserrat" w:cs="Arial"/>
          <w:iCs/>
          <w:sz w:val="20"/>
          <w:szCs w:val="20"/>
          <w:lang w:val="pl-PL"/>
        </w:rPr>
        <w:t>m</w:t>
      </w:r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 w kraju. W uroczystej inaugur</w:t>
      </w:r>
      <w:r w:rsidR="000B3A65">
        <w:rPr>
          <w:rFonts w:ascii="Montserrat" w:hAnsi="Montserrat" w:cs="Arial"/>
          <w:iCs/>
          <w:sz w:val="20"/>
          <w:szCs w:val="20"/>
          <w:lang w:val="pl-PL"/>
        </w:rPr>
        <w:t>a</w:t>
      </w:r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cji hotelu wzięli </w:t>
      </w:r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udział m.in. dr Miklós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Ináncsy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 reprezentujący Hotel Tokaj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Kft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,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György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Posta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, burmistrz Tokaju, dr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Zsófia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Koncz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, </w:t>
      </w:r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członek parlamentu,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Péter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Horváth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, dyrektor generalny Kisfaludy2030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Tourism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 Development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Nonprofit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Zrt</w:t>
      </w:r>
      <w:proofErr w:type="spellEnd"/>
      <w:r w:rsidR="00C56657" w:rsidRPr="00C56657">
        <w:rPr>
          <w:rFonts w:ascii="Montserrat" w:hAnsi="Montserrat" w:cs="Arial"/>
          <w:iCs/>
          <w:sz w:val="20"/>
          <w:szCs w:val="20"/>
          <w:lang w:val="pl-PL"/>
        </w:rPr>
        <w:t>.</w:t>
      </w:r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="00C56657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="00C56657">
        <w:rPr>
          <w:rFonts w:ascii="Montserrat" w:hAnsi="Montserrat" w:cs="Arial"/>
          <w:iCs/>
          <w:sz w:val="20"/>
          <w:szCs w:val="20"/>
          <w:lang w:val="pl-PL"/>
        </w:rPr>
        <w:t xml:space="preserve"> Tokaj Center pierwszych gości przyjmie już 10 kwietnia tego roku. </w:t>
      </w:r>
    </w:p>
    <w:p w14:paraId="39FDE1D5" w14:textId="5BCD6E83" w:rsidR="008E5D40" w:rsidRDefault="008E5D40" w:rsidP="008E773D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73157207" w14:textId="663400EB" w:rsidR="008E5D40" w:rsidRPr="008E5D40" w:rsidRDefault="00CA2252" w:rsidP="008E773D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iCs/>
          <w:sz w:val="20"/>
          <w:szCs w:val="20"/>
          <w:lang w:val="pl-PL"/>
        </w:rPr>
        <w:t>Nowy h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otel </w:t>
      </w:r>
      <w:r w:rsidR="008E5D40">
        <w:rPr>
          <w:rFonts w:ascii="Montserrat" w:hAnsi="Montserrat" w:cs="Arial"/>
          <w:iCs/>
          <w:sz w:val="20"/>
          <w:szCs w:val="20"/>
          <w:lang w:val="pl-PL"/>
        </w:rPr>
        <w:t>za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>ofer</w:t>
      </w:r>
      <w:r w:rsidR="008E5D40">
        <w:rPr>
          <w:rFonts w:ascii="Montserrat" w:hAnsi="Montserrat" w:cs="Arial"/>
          <w:iCs/>
          <w:sz w:val="20"/>
          <w:szCs w:val="20"/>
          <w:lang w:val="pl-PL"/>
        </w:rPr>
        <w:t>uje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 55 nowoczesnych i komfortowych pokoi rozmieszczonych na czterech piętrach</w:t>
      </w:r>
      <w:r w:rsidR="008E5D40">
        <w:rPr>
          <w:rFonts w:ascii="Montserrat" w:hAnsi="Montserrat" w:cs="Arial"/>
          <w:iCs/>
          <w:sz w:val="20"/>
          <w:szCs w:val="20"/>
          <w:lang w:val="pl-PL"/>
        </w:rPr>
        <w:t>,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8E5D40">
        <w:rPr>
          <w:rFonts w:ascii="Montserrat" w:hAnsi="Montserrat" w:cs="Arial"/>
          <w:iCs/>
          <w:sz w:val="20"/>
          <w:szCs w:val="20"/>
          <w:lang w:val="pl-PL"/>
        </w:rPr>
        <w:t>a także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 apartamenty typu </w:t>
      </w:r>
      <w:proofErr w:type="spellStart"/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>executive</w:t>
      </w:r>
      <w:proofErr w:type="spellEnd"/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8E5D40">
        <w:rPr>
          <w:rFonts w:ascii="Montserrat" w:hAnsi="Montserrat" w:cs="Arial"/>
          <w:iCs/>
          <w:sz w:val="20"/>
          <w:szCs w:val="20"/>
          <w:lang w:val="pl-PL"/>
        </w:rPr>
        <w:t xml:space="preserve">zlokalizowane 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na </w:t>
      </w:r>
      <w:r w:rsidR="008E5D40">
        <w:rPr>
          <w:rFonts w:ascii="Montserrat" w:hAnsi="Montserrat" w:cs="Arial"/>
          <w:iCs/>
          <w:sz w:val="20"/>
          <w:szCs w:val="20"/>
          <w:lang w:val="pl-PL"/>
        </w:rPr>
        <w:t>najwyższym piętrze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. Do dyspozycji gości </w:t>
      </w:r>
      <w:r>
        <w:rPr>
          <w:rFonts w:ascii="Montserrat" w:hAnsi="Montserrat" w:cs="Arial"/>
          <w:iCs/>
          <w:sz w:val="20"/>
          <w:szCs w:val="20"/>
          <w:lang w:val="pl-PL"/>
        </w:rPr>
        <w:t>będzie także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 stylowa restauracja, </w:t>
      </w:r>
      <w:r>
        <w:rPr>
          <w:rFonts w:ascii="Montserrat" w:hAnsi="Montserrat" w:cs="Arial"/>
          <w:iCs/>
          <w:sz w:val="20"/>
          <w:szCs w:val="20"/>
          <w:lang w:val="pl-PL"/>
        </w:rPr>
        <w:t>odkryt</w:t>
      </w:r>
      <w:r w:rsidR="00D81777">
        <w:rPr>
          <w:rFonts w:ascii="Montserrat" w:hAnsi="Montserrat" w:cs="Arial"/>
          <w:iCs/>
          <w:sz w:val="20"/>
          <w:szCs w:val="20"/>
          <w:lang w:val="pl-PL"/>
        </w:rPr>
        <w:t>y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i wewnętrzny 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>basen</w:t>
      </w:r>
      <w:r w:rsidR="001209C4">
        <w:rPr>
          <w:rFonts w:ascii="Montserrat" w:hAnsi="Montserrat" w:cs="Arial"/>
          <w:iCs/>
          <w:sz w:val="20"/>
          <w:szCs w:val="20"/>
          <w:lang w:val="pl-PL"/>
        </w:rPr>
        <w:t>, strefa</w:t>
      </w:r>
      <w:r w:rsidR="008E5D40" w:rsidRPr="008E5D40">
        <w:rPr>
          <w:rFonts w:ascii="Montserrat" w:hAnsi="Montserrat" w:cs="Arial"/>
          <w:iCs/>
          <w:sz w:val="20"/>
          <w:szCs w:val="20"/>
          <w:lang w:val="pl-PL"/>
        </w:rPr>
        <w:t xml:space="preserve"> spa, a także winiarnia z lokalnymi przysmakami.</w:t>
      </w:r>
    </w:p>
    <w:p w14:paraId="6CA46DB0" w14:textId="7B10DF83" w:rsidR="004E7A62" w:rsidRDefault="004E7A62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515B980E" w14:textId="5C17EF0D" w:rsidR="004E7A62" w:rsidRPr="001209C4" w:rsidRDefault="004E7A62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Ze wszystkich pokoi </w:t>
      </w:r>
      <w:r w:rsidR="00250F3A">
        <w:rPr>
          <w:rFonts w:ascii="Montserrat" w:hAnsi="Montserrat" w:cs="Arial"/>
          <w:iCs/>
          <w:sz w:val="20"/>
          <w:szCs w:val="20"/>
          <w:lang w:val="pl-PL"/>
        </w:rPr>
        <w:t>rozpościera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się piękny widok na rzekę Cisę 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oraz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malowniczą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górę Tokaj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.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Krajobraz hotelu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 xml:space="preserve"> znalazł odzwierciedlenie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w wystroju łazienek, a 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renom</w:t>
      </w:r>
      <w:r w:rsidR="00A52767">
        <w:rPr>
          <w:rFonts w:ascii="Montserrat" w:hAnsi="Montserrat" w:cs="Arial"/>
          <w:iCs/>
          <w:sz w:val="20"/>
          <w:szCs w:val="20"/>
          <w:lang w:val="pl-PL"/>
        </w:rPr>
        <w:t>ę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 xml:space="preserve"> wyśmienitych węgierskich win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symbolizują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klosz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e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w kształcie winogron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, zachowane z poprzedniego designu budynku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W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>nętrz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a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 xml:space="preserve">doczekały się wykończenia z zastosowaniem 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>materiał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ów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i kolor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>ów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A52767">
        <w:rPr>
          <w:rFonts w:ascii="Montserrat" w:hAnsi="Montserrat" w:cs="Arial"/>
          <w:iCs/>
          <w:sz w:val="20"/>
          <w:szCs w:val="20"/>
          <w:lang w:val="pl-PL"/>
        </w:rPr>
        <w:t>nawiązujących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A52767">
        <w:rPr>
          <w:rFonts w:ascii="Montserrat" w:hAnsi="Montserrat" w:cs="Arial"/>
          <w:iCs/>
          <w:sz w:val="20"/>
          <w:szCs w:val="20"/>
          <w:lang w:val="pl-PL"/>
        </w:rPr>
        <w:t>do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 naturalnego środowiska</w:t>
      </w:r>
      <w:r w:rsidR="00A027F1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 xml:space="preserve">otaczającego 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obiekt</w:t>
      </w:r>
      <w:r w:rsidRPr="004E7A62">
        <w:rPr>
          <w:rFonts w:ascii="Montserrat" w:hAnsi="Montserrat" w:cs="Arial"/>
          <w:iCs/>
          <w:sz w:val="20"/>
          <w:szCs w:val="20"/>
          <w:lang w:val="pl-PL"/>
        </w:rPr>
        <w:t>.</w:t>
      </w:r>
    </w:p>
    <w:p w14:paraId="42B4B817" w14:textId="2A071CC7" w:rsidR="00355AF0" w:rsidRDefault="00355AF0" w:rsidP="008E773D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6DE7D0A3" w14:textId="5EA08802" w:rsidR="00355AF0" w:rsidRPr="00355AF0" w:rsidRDefault="00D257CA" w:rsidP="008E773D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proofErr w:type="spellStart"/>
      <w:r w:rsidRPr="00D257CA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Pr="00D257CA">
        <w:rPr>
          <w:rFonts w:ascii="Montserrat" w:hAnsi="Montserrat" w:cs="Arial"/>
          <w:iCs/>
          <w:sz w:val="20"/>
          <w:szCs w:val="20"/>
          <w:lang w:val="pl-PL"/>
        </w:rPr>
        <w:t xml:space="preserve"> Tokaj Center </w:t>
      </w:r>
      <w:r w:rsidR="00D81777">
        <w:rPr>
          <w:rFonts w:ascii="Montserrat" w:hAnsi="Montserrat" w:cs="Arial"/>
          <w:iCs/>
          <w:sz w:val="20"/>
          <w:szCs w:val="20"/>
          <w:lang w:val="pl-PL"/>
        </w:rPr>
        <w:t>znajduje się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w budynku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, który przeszedł 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>całkowit</w:t>
      </w:r>
      <w:r>
        <w:rPr>
          <w:rFonts w:ascii="Montserrat" w:hAnsi="Montserrat" w:cs="Arial"/>
          <w:iCs/>
          <w:sz w:val="20"/>
          <w:szCs w:val="20"/>
          <w:lang w:val="pl-PL"/>
        </w:rPr>
        <w:t>ą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rekonstrukcj</w:t>
      </w:r>
      <w:r>
        <w:rPr>
          <w:rFonts w:ascii="Montserrat" w:hAnsi="Montserrat" w:cs="Arial"/>
          <w:iCs/>
          <w:sz w:val="20"/>
          <w:szCs w:val="20"/>
          <w:lang w:val="pl-PL"/>
        </w:rPr>
        <w:t>ę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i renowacj</w:t>
      </w:r>
      <w:r>
        <w:rPr>
          <w:rFonts w:ascii="Montserrat" w:hAnsi="Montserrat" w:cs="Arial"/>
          <w:iCs/>
          <w:sz w:val="20"/>
          <w:szCs w:val="20"/>
          <w:lang w:val="pl-PL"/>
        </w:rPr>
        <w:t>ę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Hotel jest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doskona</w:t>
      </w:r>
      <w:r>
        <w:rPr>
          <w:rFonts w:ascii="Montserrat" w:hAnsi="Montserrat" w:cs="Arial"/>
          <w:iCs/>
          <w:sz w:val="20"/>
          <w:szCs w:val="20"/>
          <w:lang w:val="pl-PL"/>
        </w:rPr>
        <w:t>le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iCs/>
          <w:sz w:val="20"/>
          <w:szCs w:val="20"/>
          <w:lang w:val="pl-PL"/>
        </w:rPr>
        <w:t>umiejscowiony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na lewym brzegu Cisy, w odległości </w:t>
      </w:r>
      <w:r w:rsidR="00D81777">
        <w:rPr>
          <w:rFonts w:ascii="Montserrat" w:hAnsi="Montserrat" w:cs="Arial"/>
          <w:iCs/>
          <w:sz w:val="20"/>
          <w:szCs w:val="20"/>
          <w:lang w:val="pl-PL"/>
        </w:rPr>
        <w:t xml:space="preserve">kilku minut 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spaceru od głównych atrakcji turystycznych. Tokaj 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leży w sercu najsłynniejszego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region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u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winiarski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ego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Węgier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i 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prężnie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355AF0">
        <w:rPr>
          <w:rFonts w:ascii="Montserrat" w:hAnsi="Montserrat" w:cs="Arial"/>
          <w:iCs/>
          <w:sz w:val="20"/>
          <w:szCs w:val="20"/>
          <w:lang w:val="pl-PL"/>
        </w:rPr>
        <w:t>rozwijając</w:t>
      </w:r>
      <w:r w:rsidR="00CA2252">
        <w:rPr>
          <w:rFonts w:ascii="Montserrat" w:hAnsi="Montserrat" w:cs="Arial"/>
          <w:iCs/>
          <w:sz w:val="20"/>
          <w:szCs w:val="20"/>
          <w:lang w:val="pl-PL"/>
        </w:rPr>
        <w:t>ego się centrum rekreacyjnego, które widnieje na Liście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Światowego Dziedzictwa UNESCO. Miasto </w:t>
      </w:r>
      <w:r>
        <w:rPr>
          <w:rFonts w:ascii="Montserrat" w:hAnsi="Montserrat" w:cs="Arial"/>
          <w:iCs/>
          <w:sz w:val="20"/>
          <w:szCs w:val="20"/>
          <w:lang w:val="pl-PL"/>
        </w:rPr>
        <w:t>słynie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ze światowej klasy win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wytwarzanych w zgodzie z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tradycją uprawy winorośli sięgającą ponad tysiąca lat. Położony 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lastRenderedPageBreak/>
        <w:t xml:space="preserve">na dalekiej północy kraju, u podnóża Wzgórz </w:t>
      </w:r>
      <w:proofErr w:type="spellStart"/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>Zemplén</w:t>
      </w:r>
      <w:proofErr w:type="spellEnd"/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>n</w:t>
      </w:r>
      <w:r w:rsidR="006C1FA1" w:rsidRPr="006C1FA1">
        <w:rPr>
          <w:rFonts w:ascii="Montserrat" w:hAnsi="Montserrat" w:cs="Arial"/>
          <w:iCs/>
          <w:sz w:val="20"/>
          <w:szCs w:val="20"/>
          <w:lang w:val="pl-PL"/>
        </w:rPr>
        <w:t xml:space="preserve">azwany na cześć wsi Tokaj, region składa się z 28 miast rozsianych na wzgórzach i położonych między dwiema rzekami, Cisą i </w:t>
      </w:r>
      <w:proofErr w:type="spellStart"/>
      <w:r w:rsidR="006C1FA1" w:rsidRPr="006C1FA1">
        <w:rPr>
          <w:rFonts w:ascii="Montserrat" w:hAnsi="Montserrat" w:cs="Arial"/>
          <w:iCs/>
          <w:sz w:val="20"/>
          <w:szCs w:val="20"/>
          <w:lang w:val="pl-PL"/>
        </w:rPr>
        <w:t>Bodrog</w:t>
      </w:r>
      <w:proofErr w:type="spellEnd"/>
      <w:r w:rsidR="006C1FA1">
        <w:rPr>
          <w:rFonts w:ascii="Montserrat" w:hAnsi="Montserrat" w:cs="Arial"/>
          <w:iCs/>
          <w:sz w:val="20"/>
          <w:szCs w:val="20"/>
          <w:lang w:val="pl-PL"/>
        </w:rPr>
        <w:t xml:space="preserve">, rozciągając się </w:t>
      </w:r>
      <w:r w:rsidR="00434F87">
        <w:rPr>
          <w:rFonts w:ascii="Montserrat" w:hAnsi="Montserrat" w:cs="Arial"/>
          <w:iCs/>
          <w:sz w:val="20"/>
          <w:szCs w:val="20"/>
          <w:lang w:val="pl-PL"/>
        </w:rPr>
        <w:t>do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południowo-wschodni</w:t>
      </w:r>
      <w:r w:rsidR="00434F87">
        <w:rPr>
          <w:rFonts w:ascii="Montserrat" w:hAnsi="Montserrat" w:cs="Arial"/>
          <w:iCs/>
          <w:sz w:val="20"/>
          <w:szCs w:val="20"/>
          <w:lang w:val="pl-PL"/>
        </w:rPr>
        <w:t>e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>j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>granicy</w:t>
      </w:r>
      <w:r w:rsidR="00355AF0"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Słowacji.</w:t>
      </w:r>
      <w:r w:rsidR="006C1FA1" w:rsidRPr="006C1FA1">
        <w:rPr>
          <w:lang w:val="pl-PL"/>
        </w:rPr>
        <w:t xml:space="preserve"> </w:t>
      </w:r>
    </w:p>
    <w:p w14:paraId="775FDCF5" w14:textId="33AC8982" w:rsidR="00C27A51" w:rsidRDefault="00C27A51" w:rsidP="008E773D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680BED6E" w14:textId="703A7BD4" w:rsidR="00C27A51" w:rsidRPr="00C27A51" w:rsidRDefault="00C27A51" w:rsidP="00C27A51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proofErr w:type="spellStart"/>
      <w:r w:rsidRPr="00693B74">
        <w:rPr>
          <w:rFonts w:ascii="Montserrat" w:hAnsi="Montserrat" w:cs="Arial"/>
          <w:i/>
          <w:sz w:val="20"/>
          <w:szCs w:val="20"/>
          <w:lang w:val="pl-PL"/>
        </w:rPr>
        <w:t>Mercure</w:t>
      </w:r>
      <w:proofErr w:type="spellEnd"/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 Tokaj Center </w:t>
      </w:r>
      <w:r w:rsidR="00D81777">
        <w:rPr>
          <w:rFonts w:ascii="Montserrat" w:hAnsi="Montserrat" w:cs="Arial"/>
          <w:i/>
          <w:sz w:val="20"/>
          <w:szCs w:val="20"/>
          <w:lang w:val="pl-PL"/>
        </w:rPr>
        <w:t>jest zlokalizowany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 w jednym z kultowych budynków Tokaju z lat 80.</w:t>
      </w:r>
      <w:r w:rsidR="006C1FA1">
        <w:rPr>
          <w:rFonts w:ascii="Montserrat" w:hAnsi="Montserrat" w:cs="Arial"/>
          <w:i/>
          <w:sz w:val="20"/>
          <w:szCs w:val="20"/>
          <w:lang w:val="pl-PL"/>
        </w:rPr>
        <w:t xml:space="preserve">, w którym kiedyś mieścił się jedyny hotel w mieście. 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Historyczna lokalizacja i zachwycające otoczenie stworzą </w:t>
      </w:r>
      <w:r w:rsidR="00052571">
        <w:rPr>
          <w:rFonts w:ascii="Montserrat" w:hAnsi="Montserrat" w:cs="Arial"/>
          <w:i/>
          <w:sz w:val="20"/>
          <w:szCs w:val="20"/>
          <w:lang w:val="pl-PL"/>
        </w:rPr>
        <w:t xml:space="preserve">dla gości 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doskonałe wrażenia, ściśle związane z istotą marki </w:t>
      </w:r>
      <w:proofErr w:type="spellStart"/>
      <w:r w:rsidRPr="00693B74">
        <w:rPr>
          <w:rFonts w:ascii="Montserrat" w:hAnsi="Montserrat" w:cs="Arial"/>
          <w:i/>
          <w:sz w:val="20"/>
          <w:szCs w:val="20"/>
          <w:lang w:val="pl-PL"/>
        </w:rPr>
        <w:t>Mercure</w:t>
      </w:r>
      <w:proofErr w:type="spellEnd"/>
      <w:r w:rsidRPr="00C27A51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iCs/>
          <w:sz w:val="20"/>
          <w:szCs w:val="20"/>
          <w:lang w:val="pl-PL"/>
        </w:rPr>
        <w:t>–</w:t>
      </w:r>
      <w:r w:rsidRPr="00C27A51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8A0C23">
        <w:rPr>
          <w:rFonts w:ascii="Montserrat" w:hAnsi="Montserrat" w:cs="Arial"/>
          <w:iCs/>
          <w:sz w:val="20"/>
          <w:szCs w:val="20"/>
          <w:lang w:val="pl-PL"/>
        </w:rPr>
        <w:t>zaznacza</w:t>
      </w:r>
      <w:r w:rsidRPr="00C27A51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>Csilla</w:t>
      </w:r>
      <w:proofErr w:type="spellEnd"/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</w:t>
      </w:r>
      <w:proofErr w:type="spellStart"/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>Nyiri</w:t>
      </w:r>
      <w:proofErr w:type="spellEnd"/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, </w:t>
      </w:r>
      <w:r w:rsidR="008A0C23">
        <w:rPr>
          <w:rFonts w:ascii="Montserrat" w:hAnsi="Montserrat" w:cs="Arial"/>
          <w:b/>
          <w:bCs/>
          <w:iCs/>
          <w:sz w:val="20"/>
          <w:szCs w:val="20"/>
          <w:lang w:val="pl-PL"/>
        </w:rPr>
        <w:t>dyrektor hoteli</w:t>
      </w:r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</w:t>
      </w:r>
      <w:proofErr w:type="spellStart"/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>Mercure</w:t>
      </w:r>
      <w:proofErr w:type="spellEnd"/>
      <w:r w:rsidRPr="00C27A51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Tokaj Center</w:t>
      </w:r>
      <w:r w:rsidRPr="00C27A51">
        <w:rPr>
          <w:rFonts w:ascii="Montserrat" w:hAnsi="Montserrat" w:cs="Arial"/>
          <w:iCs/>
          <w:sz w:val="20"/>
          <w:szCs w:val="20"/>
          <w:lang w:val="pl-PL"/>
        </w:rPr>
        <w:t>.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 xml:space="preserve"> – 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Tokaj </w:t>
      </w:r>
      <w:r w:rsidR="00052571">
        <w:rPr>
          <w:rFonts w:ascii="Montserrat" w:hAnsi="Montserrat" w:cs="Arial"/>
          <w:i/>
          <w:sz w:val="20"/>
          <w:szCs w:val="20"/>
          <w:lang w:val="pl-PL"/>
        </w:rPr>
        <w:t>to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 </w:t>
      </w:r>
      <w:r w:rsidR="00052571" w:rsidRPr="00693B74">
        <w:rPr>
          <w:rFonts w:ascii="Montserrat" w:hAnsi="Montserrat" w:cs="Arial"/>
          <w:i/>
          <w:sz w:val="20"/>
          <w:szCs w:val="20"/>
          <w:lang w:val="pl-PL"/>
        </w:rPr>
        <w:t xml:space="preserve">po Budapeszcie i jeziorze Balaton 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>jed</w:t>
      </w:r>
      <w:r w:rsidR="00052571">
        <w:rPr>
          <w:rFonts w:ascii="Montserrat" w:hAnsi="Montserrat" w:cs="Arial"/>
          <w:i/>
          <w:sz w:val="20"/>
          <w:szCs w:val="20"/>
          <w:lang w:val="pl-PL"/>
        </w:rPr>
        <w:t>en</w:t>
      </w:r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 z najszybciej rozwijających się regionów turystycznych na Węgrzech, a </w:t>
      </w:r>
      <w:proofErr w:type="spellStart"/>
      <w:r w:rsidRPr="00693B74">
        <w:rPr>
          <w:rFonts w:ascii="Montserrat" w:hAnsi="Montserrat" w:cs="Arial"/>
          <w:i/>
          <w:sz w:val="20"/>
          <w:szCs w:val="20"/>
          <w:lang w:val="pl-PL"/>
        </w:rPr>
        <w:t>Mercure</w:t>
      </w:r>
      <w:proofErr w:type="spellEnd"/>
      <w:r w:rsidRPr="00693B74">
        <w:rPr>
          <w:rFonts w:ascii="Montserrat" w:hAnsi="Montserrat" w:cs="Arial"/>
          <w:i/>
          <w:sz w:val="20"/>
          <w:szCs w:val="20"/>
          <w:lang w:val="pl-PL"/>
        </w:rPr>
        <w:t xml:space="preserve"> Tokaj Center będzie największym hotelem w mieście</w:t>
      </w:r>
      <w:r>
        <w:rPr>
          <w:rFonts w:ascii="Montserrat" w:hAnsi="Montserrat" w:cs="Arial"/>
          <w:iCs/>
          <w:sz w:val="20"/>
          <w:szCs w:val="20"/>
          <w:lang w:val="pl-PL"/>
        </w:rPr>
        <w:t>.</w:t>
      </w:r>
    </w:p>
    <w:p w14:paraId="5B5B2208" w14:textId="523576EE" w:rsidR="00A1687F" w:rsidRDefault="00A1687F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6888AE6D" w14:textId="602EB501" w:rsidR="00A1687F" w:rsidRPr="00A1687F" w:rsidRDefault="00A1687F" w:rsidP="00A1687F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proofErr w:type="spellStart"/>
      <w:r w:rsidRPr="00A1687F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Tokaj Center nie tylko </w:t>
      </w:r>
      <w:r>
        <w:rPr>
          <w:rFonts w:ascii="Montserrat" w:hAnsi="Montserrat" w:cs="Arial"/>
          <w:iCs/>
          <w:sz w:val="20"/>
          <w:szCs w:val="20"/>
          <w:lang w:val="pl-PL"/>
        </w:rPr>
        <w:t>wkomponowuje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się w malowniczy krajobraz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 xml:space="preserve"> naturalny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, ale także, podobnie jak marka, kładzie duży nacisk na zrównoważony rozwój. 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 xml:space="preserve">Hotel nie używa plastikowych butelek na napoje, </w:t>
      </w:r>
      <w:r w:rsidR="008A0C23">
        <w:rPr>
          <w:rFonts w:ascii="Montserrat" w:hAnsi="Montserrat" w:cs="Arial"/>
          <w:iCs/>
          <w:sz w:val="20"/>
          <w:szCs w:val="20"/>
          <w:lang w:val="pl-PL"/>
        </w:rPr>
        <w:t xml:space="preserve">a 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 xml:space="preserve">we wszystkich minibarach </w:t>
      </w:r>
      <w:r w:rsidR="00F10969">
        <w:rPr>
          <w:rFonts w:ascii="Montserrat" w:hAnsi="Montserrat" w:cs="Arial"/>
          <w:iCs/>
          <w:sz w:val="20"/>
          <w:szCs w:val="20"/>
          <w:lang w:val="pl-PL"/>
        </w:rPr>
        <w:t>wykorzystywane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są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wyłącznie szklane butelki</w:t>
      </w:r>
      <w:r>
        <w:rPr>
          <w:rFonts w:ascii="Montserrat" w:hAnsi="Montserrat" w:cs="Arial"/>
          <w:iCs/>
          <w:sz w:val="20"/>
          <w:szCs w:val="20"/>
          <w:lang w:val="pl-PL"/>
        </w:rPr>
        <w:t>.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iCs/>
          <w:sz w:val="20"/>
          <w:szCs w:val="20"/>
          <w:lang w:val="pl-PL"/>
        </w:rPr>
        <w:t>W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innych częściach hotelu woda</w:t>
      </w:r>
      <w:r w:rsidR="00F10969" w:rsidRPr="00F10969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F10969"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będzie 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>serwowana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w butelkach</w:t>
      </w:r>
      <w:r w:rsidR="006C1FA1">
        <w:rPr>
          <w:rFonts w:ascii="Montserrat" w:hAnsi="Montserrat" w:cs="Arial"/>
          <w:iCs/>
          <w:sz w:val="20"/>
          <w:szCs w:val="20"/>
          <w:lang w:val="pl-PL"/>
        </w:rPr>
        <w:t xml:space="preserve"> pochodzących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z recyklingu. </w:t>
      </w:r>
      <w:r w:rsidR="00B31370">
        <w:rPr>
          <w:rFonts w:ascii="Montserrat" w:hAnsi="Montserrat" w:cs="Arial"/>
          <w:iCs/>
          <w:sz w:val="20"/>
          <w:szCs w:val="20"/>
          <w:lang w:val="pl-PL"/>
        </w:rPr>
        <w:t>Obiekt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iCs/>
          <w:sz w:val="20"/>
          <w:szCs w:val="20"/>
          <w:lang w:val="pl-PL"/>
        </w:rPr>
        <w:t>rezygnuje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także </w:t>
      </w:r>
      <w:r w:rsidR="00F10969">
        <w:rPr>
          <w:rFonts w:ascii="Montserrat" w:hAnsi="Montserrat" w:cs="Arial"/>
          <w:iCs/>
          <w:sz w:val="20"/>
          <w:szCs w:val="20"/>
          <w:lang w:val="pl-PL"/>
        </w:rPr>
        <w:t xml:space="preserve">z 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jednorazowych </w:t>
      </w:r>
      <w:r>
        <w:rPr>
          <w:rFonts w:ascii="Montserrat" w:hAnsi="Montserrat" w:cs="Arial"/>
          <w:iCs/>
          <w:sz w:val="20"/>
          <w:szCs w:val="20"/>
          <w:lang w:val="pl-PL"/>
        </w:rPr>
        <w:t>przedmiotów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z tworzyw sztucznych</w:t>
      </w:r>
      <w:r w:rsidR="00C357F2">
        <w:rPr>
          <w:rFonts w:ascii="Montserrat" w:hAnsi="Montserrat" w:cs="Arial"/>
          <w:iCs/>
          <w:sz w:val="20"/>
          <w:szCs w:val="20"/>
          <w:lang w:val="pl-PL"/>
        </w:rPr>
        <w:t>,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C357F2">
        <w:rPr>
          <w:rFonts w:ascii="Montserrat" w:hAnsi="Montserrat" w:cs="Arial"/>
          <w:iCs/>
          <w:sz w:val="20"/>
          <w:szCs w:val="20"/>
          <w:lang w:val="pl-PL"/>
        </w:rPr>
        <w:t xml:space="preserve">a 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papierowe ulotki </w:t>
      </w:r>
      <w:r w:rsidR="008A0C23">
        <w:rPr>
          <w:rFonts w:ascii="Montserrat" w:hAnsi="Montserrat" w:cs="Arial"/>
          <w:iCs/>
          <w:sz w:val="20"/>
          <w:szCs w:val="20"/>
          <w:lang w:val="pl-PL"/>
        </w:rPr>
        <w:t xml:space="preserve">w hotelu </w:t>
      </w:r>
      <w:r w:rsidR="00B31370">
        <w:rPr>
          <w:rFonts w:ascii="Montserrat" w:hAnsi="Montserrat" w:cs="Arial"/>
          <w:iCs/>
          <w:sz w:val="20"/>
          <w:szCs w:val="20"/>
          <w:lang w:val="pl-PL"/>
        </w:rPr>
        <w:t>zastąpiły rozwiązania cyfrowe</w:t>
      </w:r>
      <w:r w:rsidRPr="00A1687F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</w:p>
    <w:p w14:paraId="23B579B7" w14:textId="040B3242" w:rsidR="00D62DF7" w:rsidRDefault="00D62DF7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3C93BA1C" w14:textId="3C090E02" w:rsidR="00D62DF7" w:rsidRPr="00D62DF7" w:rsidRDefault="00D62DF7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proofErr w:type="spellStart"/>
      <w:r w:rsidRPr="00D62DF7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Tokaj Center zostanie otwarty we współpracy z firmą Hotel Tokaj </w:t>
      </w:r>
      <w:proofErr w:type="spellStart"/>
      <w:r w:rsidRPr="00D62DF7">
        <w:rPr>
          <w:rFonts w:ascii="Montserrat" w:hAnsi="Montserrat" w:cs="Arial"/>
          <w:iCs/>
          <w:sz w:val="20"/>
          <w:szCs w:val="20"/>
          <w:lang w:val="pl-PL"/>
        </w:rPr>
        <w:t>Kft</w:t>
      </w:r>
      <w:proofErr w:type="spellEnd"/>
      <w:r w:rsidRPr="00D62DF7">
        <w:rPr>
          <w:rFonts w:ascii="Montserrat" w:hAnsi="Montserrat" w:cs="Arial"/>
          <w:iCs/>
          <w:sz w:val="20"/>
          <w:szCs w:val="20"/>
          <w:lang w:val="pl-PL"/>
        </w:rPr>
        <w:t>.</w:t>
      </w:r>
      <w:r w:rsidR="008330BC">
        <w:rPr>
          <w:rFonts w:ascii="Montserrat" w:hAnsi="Montserrat" w:cs="Arial"/>
          <w:iCs/>
          <w:sz w:val="20"/>
          <w:szCs w:val="20"/>
          <w:lang w:val="pl-PL"/>
        </w:rPr>
        <w:t xml:space="preserve"> jako 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pierwszy </w:t>
      </w:r>
      <w:r w:rsidR="008330BC">
        <w:rPr>
          <w:rFonts w:ascii="Montserrat" w:hAnsi="Montserrat" w:cs="Arial"/>
          <w:iCs/>
          <w:sz w:val="20"/>
          <w:szCs w:val="20"/>
          <w:lang w:val="pl-PL"/>
        </w:rPr>
        <w:t>obiekt marki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poza stolicą kraju.</w:t>
      </w:r>
    </w:p>
    <w:p w14:paraId="69A6DCE1" w14:textId="41749554" w:rsidR="00D62DF7" w:rsidRPr="00E95236" w:rsidRDefault="00D62DF7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30919F71" w14:textId="75F017A4" w:rsidR="00D62DF7" w:rsidRPr="00286150" w:rsidRDefault="00D62DF7">
      <w:pPr>
        <w:jc w:val="both"/>
        <w:rPr>
          <w:rFonts w:ascii="Montserrat" w:hAnsi="Montserrat" w:cs="Arial"/>
          <w:i/>
          <w:sz w:val="20"/>
          <w:szCs w:val="20"/>
          <w:lang w:val="pl-PL"/>
        </w:rPr>
      </w:pPr>
      <w:r w:rsidRPr="0057379B">
        <w:rPr>
          <w:rFonts w:ascii="Montserrat" w:hAnsi="Montserrat" w:cs="Arial"/>
          <w:i/>
          <w:sz w:val="20"/>
          <w:szCs w:val="20"/>
          <w:lang w:val="pl-PL"/>
        </w:rPr>
        <w:t xml:space="preserve">Marka </w:t>
      </w:r>
      <w:proofErr w:type="spellStart"/>
      <w:r w:rsidRPr="0057379B">
        <w:rPr>
          <w:rFonts w:ascii="Montserrat" w:hAnsi="Montserrat" w:cs="Arial"/>
          <w:i/>
          <w:sz w:val="20"/>
          <w:szCs w:val="20"/>
          <w:lang w:val="pl-PL"/>
        </w:rPr>
        <w:t>Mercure</w:t>
      </w:r>
      <w:proofErr w:type="spellEnd"/>
      <w:r w:rsidRPr="0057379B">
        <w:rPr>
          <w:rFonts w:ascii="Montserrat" w:hAnsi="Montserrat" w:cs="Arial"/>
          <w:i/>
          <w:sz w:val="20"/>
          <w:szCs w:val="20"/>
          <w:lang w:val="pl-PL"/>
        </w:rPr>
        <w:t xml:space="preserve"> oferuje hotele wyższej i średniej klasy, które pozwalają gościom w pełni pozna</w:t>
      </w:r>
      <w:r w:rsidR="00B31370">
        <w:rPr>
          <w:rFonts w:ascii="Montserrat" w:hAnsi="Montserrat" w:cs="Arial"/>
          <w:i/>
          <w:sz w:val="20"/>
          <w:szCs w:val="20"/>
          <w:lang w:val="pl-PL"/>
        </w:rPr>
        <w:t>wa</w:t>
      </w:r>
      <w:r w:rsidRPr="0057379B">
        <w:rPr>
          <w:rFonts w:ascii="Montserrat" w:hAnsi="Montserrat" w:cs="Arial"/>
          <w:i/>
          <w:sz w:val="20"/>
          <w:szCs w:val="20"/>
          <w:lang w:val="pl-PL"/>
        </w:rPr>
        <w:t xml:space="preserve">ć każdą destynację i jej </w:t>
      </w:r>
      <w:r w:rsidR="00B31370">
        <w:rPr>
          <w:rFonts w:ascii="Montserrat" w:hAnsi="Montserrat" w:cs="Arial"/>
          <w:i/>
          <w:sz w:val="20"/>
          <w:szCs w:val="20"/>
          <w:lang w:val="pl-PL"/>
        </w:rPr>
        <w:t>lokalność</w:t>
      </w:r>
      <w:r w:rsidRPr="0057379B">
        <w:rPr>
          <w:rFonts w:ascii="Montserrat" w:hAnsi="Montserrat" w:cs="Arial"/>
          <w:i/>
          <w:sz w:val="20"/>
          <w:szCs w:val="20"/>
          <w:lang w:val="pl-PL"/>
        </w:rPr>
        <w:t xml:space="preserve">. Jesteśmy podekscytowani tym projektem, </w:t>
      </w:r>
      <w:r w:rsidR="00B31370">
        <w:rPr>
          <w:rFonts w:ascii="Montserrat" w:hAnsi="Montserrat" w:cs="Arial"/>
          <w:i/>
          <w:sz w:val="20"/>
          <w:szCs w:val="20"/>
          <w:lang w:val="pl-PL"/>
        </w:rPr>
        <w:t>gdyż</w:t>
      </w:r>
      <w:r w:rsidRPr="0057379B">
        <w:rPr>
          <w:rFonts w:ascii="Montserrat" w:hAnsi="Montserrat" w:cs="Arial"/>
          <w:i/>
          <w:sz w:val="20"/>
          <w:szCs w:val="20"/>
          <w:lang w:val="pl-PL"/>
        </w:rPr>
        <w:t xml:space="preserve"> dzięki niemu marka pojawi się w drugim mieście na Węgrzech</w:t>
      </w:r>
      <w:r w:rsidR="00286150">
        <w:rPr>
          <w:rFonts w:ascii="Montserrat" w:hAnsi="Montserrat" w:cs="Arial"/>
          <w:i/>
          <w:sz w:val="20"/>
          <w:szCs w:val="20"/>
          <w:lang w:val="pl-PL"/>
        </w:rPr>
        <w:t>, a zarazem jednym z miejsc uwielbianych przez turystów</w:t>
      </w:r>
      <w:r w:rsidRPr="0057379B">
        <w:rPr>
          <w:rFonts w:ascii="Montserrat" w:hAnsi="Montserrat" w:cs="Arial"/>
          <w:i/>
          <w:sz w:val="20"/>
          <w:szCs w:val="20"/>
          <w:lang w:val="pl-PL"/>
        </w:rPr>
        <w:t>”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iCs/>
          <w:sz w:val="20"/>
          <w:szCs w:val="20"/>
          <w:lang w:val="pl-PL"/>
        </w:rPr>
        <w:t>–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B31370">
        <w:rPr>
          <w:rFonts w:ascii="Montserrat" w:hAnsi="Montserrat" w:cs="Arial"/>
          <w:iCs/>
          <w:sz w:val="20"/>
          <w:szCs w:val="20"/>
          <w:lang w:val="pl-PL"/>
        </w:rPr>
        <w:t>podkreśla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D62DF7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Sabina Bartyzel, </w:t>
      </w:r>
      <w:r w:rsidR="00B31370">
        <w:rPr>
          <w:rFonts w:ascii="Montserrat" w:hAnsi="Montserrat" w:cs="Arial"/>
          <w:b/>
          <w:bCs/>
          <w:iCs/>
          <w:sz w:val="20"/>
          <w:szCs w:val="20"/>
          <w:lang w:val="pl-PL"/>
        </w:rPr>
        <w:t>SVP Operations</w:t>
      </w:r>
      <w:r w:rsidR="00286150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Accor </w:t>
      </w:r>
      <w:proofErr w:type="spellStart"/>
      <w:r w:rsidR="00286150">
        <w:rPr>
          <w:rFonts w:ascii="Montserrat" w:hAnsi="Montserrat" w:cs="Arial"/>
          <w:b/>
          <w:bCs/>
          <w:iCs/>
          <w:sz w:val="20"/>
          <w:szCs w:val="20"/>
          <w:lang w:val="pl-PL"/>
        </w:rPr>
        <w:t>Eastern</w:t>
      </w:r>
      <w:proofErr w:type="spellEnd"/>
      <w:r w:rsidR="00286150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Europe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>.</w:t>
      </w:r>
      <w:r w:rsidR="00286150">
        <w:rPr>
          <w:rFonts w:ascii="Montserrat" w:hAnsi="Montserrat" w:cs="Arial"/>
          <w:iCs/>
          <w:sz w:val="20"/>
          <w:szCs w:val="20"/>
          <w:lang w:val="pl-PL"/>
        </w:rPr>
        <w:t xml:space="preserve"> – </w:t>
      </w:r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286150">
        <w:rPr>
          <w:rFonts w:ascii="Montserrat" w:hAnsi="Montserrat" w:cs="Arial"/>
          <w:i/>
          <w:sz w:val="20"/>
          <w:szCs w:val="20"/>
          <w:lang w:val="pl-PL"/>
        </w:rPr>
        <w:t xml:space="preserve">Wierzymy, że otoczenie malowniczego i najsłynniejszego węgierskiego szlaku winiarskiego podbije serca wszystkich goście i pozwoli poczuć pełnego ducha lokalnego klimatu wciąż rozwijającej się destynacji. </w:t>
      </w:r>
    </w:p>
    <w:p w14:paraId="0AF6A370" w14:textId="77777777" w:rsidR="00E6670F" w:rsidRPr="00B01213" w:rsidRDefault="00E6670F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0AF6A372" w14:textId="166C5302" w:rsidR="00E6670F" w:rsidRDefault="008A0C23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iCs/>
          <w:sz w:val="20"/>
          <w:szCs w:val="20"/>
          <w:lang w:val="pl-PL"/>
        </w:rPr>
        <w:t xml:space="preserve">Właścicielem </w:t>
      </w:r>
      <w:proofErr w:type="spellStart"/>
      <w:r w:rsidRPr="00D62DF7">
        <w:rPr>
          <w:rFonts w:ascii="Montserrat" w:hAnsi="Montserrat" w:cs="Arial"/>
          <w:iCs/>
          <w:sz w:val="20"/>
          <w:szCs w:val="20"/>
          <w:lang w:val="pl-PL"/>
        </w:rPr>
        <w:t>Mercure</w:t>
      </w:r>
      <w:proofErr w:type="spellEnd"/>
      <w:r w:rsidRPr="00D62DF7">
        <w:rPr>
          <w:rFonts w:ascii="Montserrat" w:hAnsi="Montserrat" w:cs="Arial"/>
          <w:iCs/>
          <w:sz w:val="20"/>
          <w:szCs w:val="20"/>
          <w:lang w:val="pl-PL"/>
        </w:rPr>
        <w:t xml:space="preserve"> Tokaj Center </w:t>
      </w:r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 xml:space="preserve">jest węgierska spółka Hotel Tokaj </w:t>
      </w:r>
      <w:proofErr w:type="spellStart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>Kft</w:t>
      </w:r>
      <w:proofErr w:type="spellEnd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 xml:space="preserve">, zajmująca się </w:t>
      </w:r>
      <w:r w:rsidR="008330BC">
        <w:rPr>
          <w:rFonts w:ascii="Montserrat" w:hAnsi="Montserrat" w:cs="Arial"/>
          <w:iCs/>
          <w:sz w:val="20"/>
          <w:szCs w:val="20"/>
          <w:lang w:val="pl-PL"/>
        </w:rPr>
        <w:t>m.in.</w:t>
      </w:r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 xml:space="preserve"> nieruchomościami, turystyką i rolnictwem. Firma posiada już kilka hoteli w całym kraju, na przykład w </w:t>
      </w:r>
      <w:proofErr w:type="spellStart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>Hajdúszoboszló</w:t>
      </w:r>
      <w:proofErr w:type="spellEnd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 xml:space="preserve">, popularnym kurorcie niedaleko Tokaju.  Autorem projektu hotelu jest </w:t>
      </w:r>
      <w:proofErr w:type="spellStart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>László</w:t>
      </w:r>
      <w:proofErr w:type="spellEnd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proofErr w:type="spellStart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>Sáros</w:t>
      </w:r>
      <w:proofErr w:type="spellEnd"/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 xml:space="preserve">, a </w:t>
      </w:r>
      <w:r w:rsidR="008330BC">
        <w:rPr>
          <w:rFonts w:ascii="Montserrat" w:hAnsi="Montserrat" w:cs="Arial"/>
          <w:iCs/>
          <w:sz w:val="20"/>
          <w:szCs w:val="20"/>
          <w:lang w:val="pl-PL"/>
        </w:rPr>
        <w:t xml:space="preserve">za projekt odpowiada </w:t>
      </w:r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>Pracownia Architektoniczna BORD.</w:t>
      </w:r>
    </w:p>
    <w:p w14:paraId="0AF6A377" w14:textId="4A43B6AC" w:rsidR="00E6670F" w:rsidRPr="00FD6DD9" w:rsidRDefault="00E6670F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22C3BC61" w14:textId="322727E2" w:rsidR="008E773D" w:rsidRPr="00FD6DD9" w:rsidRDefault="008E773D" w:rsidP="00DB147D">
      <w:pPr>
        <w:jc w:val="center"/>
        <w:rPr>
          <w:rFonts w:ascii="Montserrat" w:hAnsi="Montserrat" w:cs="Arial"/>
          <w:iCs/>
          <w:sz w:val="20"/>
          <w:szCs w:val="20"/>
          <w:lang w:val="pl-PL"/>
        </w:rPr>
      </w:pPr>
      <w:r w:rsidRPr="00FD6DD9">
        <w:rPr>
          <w:rFonts w:ascii="Montserrat" w:hAnsi="Montserrat" w:cs="Arial"/>
          <w:iCs/>
          <w:sz w:val="20"/>
          <w:szCs w:val="20"/>
          <w:lang w:val="pl-PL"/>
        </w:rPr>
        <w:t># # #</w:t>
      </w:r>
    </w:p>
    <w:p w14:paraId="125A0A9D" w14:textId="2355D505" w:rsidR="00BC517C" w:rsidRDefault="00BC517C" w:rsidP="002F42D6">
      <w:pPr>
        <w:rPr>
          <w:rFonts w:ascii="Montserrat" w:hAnsi="Montserrat" w:cs="Arial"/>
          <w:iCs/>
          <w:sz w:val="20"/>
          <w:szCs w:val="20"/>
          <w:lang w:val="pl-PL"/>
        </w:rPr>
      </w:pPr>
    </w:p>
    <w:p w14:paraId="2ED9EC32" w14:textId="77777777" w:rsidR="00BC517C" w:rsidRPr="00FD6DD9" w:rsidRDefault="00BC517C" w:rsidP="00DB147D">
      <w:pPr>
        <w:jc w:val="center"/>
        <w:rPr>
          <w:rFonts w:ascii="Montserrat" w:hAnsi="Montserrat" w:cs="Arial"/>
          <w:iCs/>
          <w:sz w:val="20"/>
          <w:szCs w:val="20"/>
          <w:lang w:val="pl-PL"/>
        </w:rPr>
      </w:pPr>
    </w:p>
    <w:p w14:paraId="2CF3A093" w14:textId="77777777" w:rsidR="002F42D6" w:rsidRPr="002F42D6" w:rsidRDefault="002F42D6" w:rsidP="002F42D6">
      <w:pPr>
        <w:jc w:val="both"/>
        <w:rPr>
          <w:rFonts w:ascii="Montserrat" w:hAnsi="Montserrat" w:cs="Arial"/>
          <w:b/>
          <w:iCs/>
          <w:sz w:val="20"/>
          <w:szCs w:val="20"/>
          <w:lang w:val="pl-PL"/>
        </w:rPr>
      </w:pPr>
      <w:r w:rsidRPr="002F42D6">
        <w:rPr>
          <w:rFonts w:ascii="Montserrat" w:hAnsi="Montserrat" w:cs="Arial"/>
          <w:b/>
          <w:iCs/>
          <w:sz w:val="20"/>
          <w:szCs w:val="20"/>
          <w:lang w:val="pl-PL"/>
        </w:rPr>
        <w:t xml:space="preserve">Odkrywaj lokalność z </w:t>
      </w:r>
      <w:proofErr w:type="spellStart"/>
      <w:r w:rsidRPr="002F42D6">
        <w:rPr>
          <w:rFonts w:ascii="Montserrat" w:hAnsi="Montserrat" w:cs="Arial"/>
          <w:b/>
          <w:iCs/>
          <w:sz w:val="20"/>
          <w:szCs w:val="20"/>
          <w:lang w:val="pl-PL"/>
        </w:rPr>
        <w:t>Mercure</w:t>
      </w:r>
      <w:proofErr w:type="spellEnd"/>
    </w:p>
    <w:p w14:paraId="1963EB97" w14:textId="77777777" w:rsidR="002F42D6" w:rsidRPr="002F42D6" w:rsidRDefault="002F42D6" w:rsidP="002F42D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2F42D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Marka </w:t>
      </w:r>
      <w:proofErr w:type="spellStart"/>
      <w:r w:rsidRPr="002F42D6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Pr="002F42D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to gwarancja nowych, wyjątkowych i niezapomnianych doświadczeń z pobytu w hotelu. Każdy obiekt cechuje się nie tylko niepowtarzalnym stylem, ale także klimatem inspirowanym lokalnym otoczeniem i kulturą. Wszystko to sprawia, że za każdym razem wizyta w hotelach </w:t>
      </w:r>
      <w:proofErr w:type="spellStart"/>
      <w:r w:rsidRPr="002F42D6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Pr="002F42D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jest niezwykła i pełna unikalnych wrażeń. Regionalne akcenty, lokalna kuchnia oraz tradycja budują świadomość gości o miejscu, które odwiedzają. Dzięki temu każdy z nich może w pełni odkryć i doświadczyć niepowtarzalnego charakteru marki. </w:t>
      </w:r>
    </w:p>
    <w:p w14:paraId="7B611184" w14:textId="77777777" w:rsidR="008330BC" w:rsidRDefault="008330BC">
      <w:pPr>
        <w:contextualSpacing/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354A8DE2" w14:textId="54B93B35" w:rsidR="00BC517C" w:rsidRPr="00355AF0" w:rsidRDefault="00355AF0">
      <w:pPr>
        <w:contextualSpacing/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O Accor</w:t>
      </w:r>
    </w:p>
    <w:p w14:paraId="0AF6A379" w14:textId="2D008CA2" w:rsidR="00E6670F" w:rsidRPr="00FD6DD9" w:rsidRDefault="00355AF0">
      <w:pPr>
        <w:contextualSpacing/>
        <w:jc w:val="both"/>
        <w:rPr>
          <w:rFonts w:ascii="Montserrat" w:hAnsi="Montserrat"/>
          <w:b/>
          <w:sz w:val="20"/>
          <w:szCs w:val="20"/>
          <w:lang w:val="pl-PL"/>
        </w:rPr>
      </w:pPr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luxury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premium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midscale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i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economy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. Wyjątkowe i unikalne doświadczenia uzupełnia oferta rozrywkowa, bary i restauracje, markowe rezydencje prywatne, współdzielone obiekty noclegowe,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consierge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>, przestrzenie co-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workingowe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i wiele </w:t>
      </w:r>
      <w:r w:rsidRPr="00355AF0">
        <w:rPr>
          <w:rFonts w:ascii="Montserrat" w:hAnsi="Montserrat" w:cs="Arial"/>
          <w:iCs/>
          <w:sz w:val="20"/>
          <w:szCs w:val="20"/>
          <w:lang w:val="pl-PL"/>
        </w:rPr>
        <w:lastRenderedPageBreak/>
        <w:t xml:space="preserve">innych. Niezrównaną pozycję Accor w sektorze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lifestylowym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– jednej z najszybciej rozwijających się kategorii w branży – gwarantuje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Ennismore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kreatywna firma hotelarska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lifestylowy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program lojalnościowy ALL - Accor Live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Limitless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który jako codzienny towarzysz hotelowych gości pozwala na wzbogacenie pobytu o dodatkową wartość i przeżycia związane z szeroką gamą benefitów, usług i doświadczeń. Poprzez inicjatywy takie jak Planet 21 –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Acting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Here, Accor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Solidarity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,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RiiSE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i ALL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Heartist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Fund, grupa koncentruje się na tworzeniu pozytywnych działań poprzez promowanie etycznego biznesu, zrównoważonego rozwoju, ochrony środowiska, odpowiedzialnego hotelarstwa, zaangażowania społecznego, różnorodności i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inkluzywności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. Założona w 1967 roku spółka Accor SA jest notowana na paryskiej giełdzie </w:t>
      </w:r>
      <w:proofErr w:type="spellStart"/>
      <w:r w:rsidRPr="00355AF0">
        <w:rPr>
          <w:rFonts w:ascii="Montserrat" w:hAnsi="Montserrat" w:cs="Arial"/>
          <w:iCs/>
          <w:sz w:val="20"/>
          <w:szCs w:val="20"/>
          <w:lang w:val="pl-PL"/>
        </w:rPr>
        <w:t>Euronext</w:t>
      </w:r>
      <w:proofErr w:type="spellEnd"/>
      <w:r w:rsidRPr="00355AF0">
        <w:rPr>
          <w:rFonts w:ascii="Montserrat" w:hAnsi="Montserrat" w:cs="Arial"/>
          <w:iCs/>
          <w:sz w:val="20"/>
          <w:szCs w:val="20"/>
          <w:lang w:val="pl-PL"/>
        </w:rPr>
        <w:t xml:space="preserve"> (kod ISIN: FR0000120404) oraz na rynku OTC (kod ACRFY) w Stanach Zjednoczonych. Więcej informacji na stronie: group.accor.com. Zapraszamy do polubienia strony Accor na Facebooku oraz do śledzenia na Twitter, Facebook, LinkedIn i Instagram</w:t>
      </w:r>
      <w:r w:rsidR="000D07E3">
        <w:rPr>
          <w:rFonts w:ascii="Montserrat" w:hAnsi="Montserrat" w:cs="Arial"/>
          <w:iCs/>
          <w:sz w:val="20"/>
          <w:szCs w:val="20"/>
          <w:lang w:val="pl-PL"/>
        </w:rPr>
        <w:t>.</w:t>
      </w:r>
    </w:p>
    <w:p w14:paraId="0AF6A37A" w14:textId="59ADCFDC" w:rsidR="00E6670F" w:rsidRDefault="00E6670F">
      <w:pPr>
        <w:contextualSpacing/>
        <w:jc w:val="both"/>
        <w:rPr>
          <w:rFonts w:ascii="Montserrat" w:hAnsi="Montserrat"/>
          <w:b/>
          <w:sz w:val="20"/>
          <w:szCs w:val="20"/>
          <w:lang w:val="pl-PL"/>
        </w:rPr>
      </w:pPr>
    </w:p>
    <w:p w14:paraId="7C0C067B" w14:textId="77777777" w:rsidR="003C068B" w:rsidRPr="00FD6DD9" w:rsidRDefault="003C068B">
      <w:pPr>
        <w:contextualSpacing/>
        <w:jc w:val="both"/>
        <w:rPr>
          <w:rFonts w:ascii="Montserrat" w:hAnsi="Montserrat"/>
          <w:b/>
          <w:sz w:val="20"/>
          <w:szCs w:val="20"/>
          <w:lang w:val="pl-PL"/>
        </w:rPr>
      </w:pPr>
    </w:p>
    <w:p w14:paraId="0AF6A37B" w14:textId="7FFAA87A" w:rsidR="00E6670F" w:rsidRPr="00FD6DD9" w:rsidRDefault="00355AF0">
      <w:pPr>
        <w:contextualSpacing/>
        <w:jc w:val="both"/>
        <w:rPr>
          <w:rFonts w:ascii="Montserrat" w:hAnsi="Montserrat"/>
          <w:sz w:val="20"/>
          <w:szCs w:val="20"/>
          <w:lang w:val="pl-PL"/>
        </w:rPr>
      </w:pPr>
      <w:r>
        <w:rPr>
          <w:rFonts w:ascii="Montserrat" w:hAnsi="Montserrat"/>
          <w:b/>
          <w:sz w:val="20"/>
          <w:szCs w:val="20"/>
          <w:lang w:val="pl-PL"/>
        </w:rPr>
        <w:t>Kontakt dla mediów</w:t>
      </w:r>
      <w:r w:rsidR="008E773D" w:rsidRPr="00FD6DD9">
        <w:rPr>
          <w:rFonts w:ascii="Montserrat" w:hAnsi="Montserrat"/>
          <w:b/>
          <w:sz w:val="20"/>
          <w:szCs w:val="20"/>
          <w:lang w:val="pl-PL"/>
        </w:rPr>
        <w:t>:</w:t>
      </w:r>
    </w:p>
    <w:p w14:paraId="5F72FF02" w14:textId="77777777" w:rsidR="003C068B" w:rsidRDefault="003C068B">
      <w:pPr>
        <w:contextualSpacing/>
        <w:jc w:val="both"/>
        <w:rPr>
          <w:rFonts w:ascii="Montserrat" w:hAnsi="Montserrat"/>
          <w:iCs/>
          <w:sz w:val="20"/>
          <w:szCs w:val="20"/>
          <w:lang w:val="pl-PL"/>
        </w:rPr>
      </w:pPr>
    </w:p>
    <w:p w14:paraId="0AF6A37D" w14:textId="7BED7373" w:rsidR="00E6670F" w:rsidRPr="00FD6DD9" w:rsidRDefault="003C068B">
      <w:pPr>
        <w:contextualSpacing/>
        <w:jc w:val="both"/>
        <w:rPr>
          <w:rFonts w:ascii="Montserrat" w:hAnsi="Montserrat"/>
          <w:iCs/>
          <w:sz w:val="20"/>
          <w:szCs w:val="20"/>
          <w:lang w:val="pl-PL"/>
        </w:rPr>
      </w:pPr>
      <w:r w:rsidRPr="003C068B">
        <w:rPr>
          <w:rFonts w:ascii="Montserrat" w:hAnsi="Montserrat"/>
          <w:iCs/>
          <w:sz w:val="20"/>
          <w:szCs w:val="20"/>
          <w:lang w:val="pl-PL"/>
        </w:rPr>
        <w:t>Agnieszka Kalinowska</w:t>
      </w:r>
    </w:p>
    <w:p w14:paraId="0AF6A37E" w14:textId="7676482C" w:rsidR="00E6670F" w:rsidRPr="003C068B" w:rsidRDefault="003C068B">
      <w:pPr>
        <w:contextualSpacing/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3C068B">
        <w:rPr>
          <w:rFonts w:ascii="Montserrat" w:hAnsi="Montserrat" w:cs="Arial"/>
          <w:iCs/>
          <w:sz w:val="20"/>
          <w:szCs w:val="20"/>
          <w:lang w:val="pl-PL"/>
        </w:rPr>
        <w:t xml:space="preserve">Manager Media Relations &amp; PR Poland &amp; </w:t>
      </w:r>
      <w:proofErr w:type="spellStart"/>
      <w:r w:rsidRPr="003C068B">
        <w:rPr>
          <w:rFonts w:ascii="Montserrat" w:hAnsi="Montserrat" w:cs="Arial"/>
          <w:iCs/>
          <w:sz w:val="20"/>
          <w:szCs w:val="20"/>
          <w:lang w:val="pl-PL"/>
        </w:rPr>
        <w:t>Eastern</w:t>
      </w:r>
      <w:proofErr w:type="spellEnd"/>
      <w:r w:rsidRPr="003C068B">
        <w:rPr>
          <w:rFonts w:ascii="Montserrat" w:hAnsi="Montserrat" w:cs="Arial"/>
          <w:iCs/>
          <w:sz w:val="20"/>
          <w:szCs w:val="20"/>
          <w:lang w:val="pl-PL"/>
        </w:rPr>
        <w:t xml:space="preserve"> Europe</w:t>
      </w:r>
    </w:p>
    <w:p w14:paraId="32BBC00A" w14:textId="549CF8F6" w:rsidR="003C068B" w:rsidRPr="003C068B" w:rsidRDefault="003C068B">
      <w:pPr>
        <w:contextualSpacing/>
        <w:jc w:val="both"/>
        <w:rPr>
          <w:rFonts w:ascii="Montserrat" w:hAnsi="Montserrat" w:cs="Arial"/>
          <w:iCs/>
          <w:sz w:val="20"/>
          <w:szCs w:val="20"/>
          <w:u w:val="single"/>
          <w:lang w:val="pl-PL"/>
        </w:rPr>
      </w:pPr>
      <w:r w:rsidRPr="003C068B">
        <w:rPr>
          <w:rFonts w:ascii="Montserrat" w:hAnsi="Montserrat" w:cs="Arial"/>
          <w:iCs/>
          <w:sz w:val="20"/>
          <w:szCs w:val="20"/>
          <w:u w:val="single"/>
          <w:lang w:val="pl-PL"/>
        </w:rPr>
        <w:t>Agnieszka.KALINOWSKA@accor.com</w:t>
      </w:r>
    </w:p>
    <w:sectPr w:rsidR="003C068B" w:rsidRPr="003C068B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F956" w14:textId="77777777" w:rsidR="00F70CA8" w:rsidRDefault="00F70CA8">
      <w:r>
        <w:separator/>
      </w:r>
    </w:p>
  </w:endnote>
  <w:endnote w:type="continuationSeparator" w:id="0">
    <w:p w14:paraId="10925A44" w14:textId="77777777" w:rsidR="00F70CA8" w:rsidRDefault="00F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0E0C" w14:textId="77777777" w:rsidR="00F70CA8" w:rsidRDefault="00F70CA8">
      <w:r>
        <w:separator/>
      </w:r>
    </w:p>
  </w:footnote>
  <w:footnote w:type="continuationSeparator" w:id="0">
    <w:p w14:paraId="7A241B49" w14:textId="77777777" w:rsidR="00F70CA8" w:rsidRDefault="00F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A381" w14:textId="77777777" w:rsidR="00E6670F" w:rsidRDefault="008E773D">
    <w:pPr>
      <w:pStyle w:val="Nagwek"/>
      <w:jc w:val="center"/>
    </w:pPr>
    <w:r>
      <w:rPr>
        <w:noProof/>
        <w:lang w:val="hu-HU" w:eastAsia="hu-HU"/>
      </w:rPr>
      <w:drawing>
        <wp:inline distT="0" distB="0" distL="0" distR="0" wp14:anchorId="0AF6A383" wp14:editId="0AF6A384">
          <wp:extent cx="2343150" cy="6000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6A382" w14:textId="77777777" w:rsidR="00E6670F" w:rsidRDefault="00E6670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F"/>
    <w:rsid w:val="00013D1D"/>
    <w:rsid w:val="0004012C"/>
    <w:rsid w:val="00052571"/>
    <w:rsid w:val="000561BA"/>
    <w:rsid w:val="000B3A65"/>
    <w:rsid w:val="000D07E3"/>
    <w:rsid w:val="001209C4"/>
    <w:rsid w:val="00250F3A"/>
    <w:rsid w:val="00286150"/>
    <w:rsid w:val="002F42D6"/>
    <w:rsid w:val="00355AF0"/>
    <w:rsid w:val="00384926"/>
    <w:rsid w:val="003C068B"/>
    <w:rsid w:val="003E4676"/>
    <w:rsid w:val="00434F87"/>
    <w:rsid w:val="004769FC"/>
    <w:rsid w:val="004A5036"/>
    <w:rsid w:val="004E7A62"/>
    <w:rsid w:val="0057379B"/>
    <w:rsid w:val="005A2721"/>
    <w:rsid w:val="005C16E5"/>
    <w:rsid w:val="00624666"/>
    <w:rsid w:val="0064190E"/>
    <w:rsid w:val="00693B74"/>
    <w:rsid w:val="006C1FA1"/>
    <w:rsid w:val="00735089"/>
    <w:rsid w:val="008330BC"/>
    <w:rsid w:val="008A0C23"/>
    <w:rsid w:val="008E5D40"/>
    <w:rsid w:val="008E773D"/>
    <w:rsid w:val="008F0AFE"/>
    <w:rsid w:val="009D230D"/>
    <w:rsid w:val="00A027F1"/>
    <w:rsid w:val="00A1687F"/>
    <w:rsid w:val="00A52767"/>
    <w:rsid w:val="00A73819"/>
    <w:rsid w:val="00AF69D1"/>
    <w:rsid w:val="00B01213"/>
    <w:rsid w:val="00B31370"/>
    <w:rsid w:val="00B33626"/>
    <w:rsid w:val="00B509B4"/>
    <w:rsid w:val="00BC178A"/>
    <w:rsid w:val="00BC517C"/>
    <w:rsid w:val="00BD01B6"/>
    <w:rsid w:val="00C27A51"/>
    <w:rsid w:val="00C357F2"/>
    <w:rsid w:val="00C56657"/>
    <w:rsid w:val="00C86B29"/>
    <w:rsid w:val="00CA2252"/>
    <w:rsid w:val="00D257CA"/>
    <w:rsid w:val="00D477FA"/>
    <w:rsid w:val="00D62DF7"/>
    <w:rsid w:val="00D81777"/>
    <w:rsid w:val="00DA6157"/>
    <w:rsid w:val="00DB147D"/>
    <w:rsid w:val="00DB6A1D"/>
    <w:rsid w:val="00DE182C"/>
    <w:rsid w:val="00E25D71"/>
    <w:rsid w:val="00E44E50"/>
    <w:rsid w:val="00E6670F"/>
    <w:rsid w:val="00E95236"/>
    <w:rsid w:val="00EA7C8A"/>
    <w:rsid w:val="00F10969"/>
    <w:rsid w:val="00F70CA8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365"/>
  <w15:docId w15:val="{6FA7BFE5-8412-45DA-8DE2-280F313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F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4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44FB"/>
    <w:rPr>
      <w:rFonts w:ascii="Calibri" w:hAnsi="Calibri" w:cs="Times New Roman"/>
      <w:sz w:val="20"/>
      <w:szCs w:val="20"/>
    </w:rPr>
  </w:style>
  <w:style w:type="character" w:customStyle="1" w:styleId="InternetLink">
    <w:name w:val="Internet Link"/>
    <w:basedOn w:val="Domylnaczcionkaakapitu"/>
    <w:uiPriority w:val="99"/>
    <w:unhideWhenUsed/>
    <w:rsid w:val="004F4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F44F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4F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qFormat/>
    <w:rsid w:val="006227B8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30CA"/>
    <w:rPr>
      <w:rFonts w:ascii="Calibri" w:hAnsi="Calibri" w:cs="Times New Roman"/>
      <w:b/>
      <w:bCs/>
      <w:sz w:val="20"/>
      <w:szCs w:val="20"/>
    </w:rPr>
  </w:style>
  <w:style w:type="character" w:customStyle="1" w:styleId="lfejChar">
    <w:name w:val="Élőfej Char"/>
    <w:basedOn w:val="Domylnaczcionkaakapitu"/>
    <w:uiPriority w:val="99"/>
    <w:qFormat/>
    <w:rsid w:val="00D656F1"/>
    <w:rPr>
      <w:rFonts w:ascii="Calibri" w:hAnsi="Calibri" w:cs="Times New Roman"/>
    </w:rPr>
  </w:style>
  <w:style w:type="character" w:customStyle="1" w:styleId="llbChar">
    <w:name w:val="Élőláb Char"/>
    <w:basedOn w:val="Domylnaczcionkaakapitu"/>
    <w:uiPriority w:val="99"/>
    <w:qFormat/>
    <w:rsid w:val="00D656F1"/>
    <w:rPr>
      <w:rFonts w:ascii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B10A9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E28F1"/>
    <w:pPr>
      <w:ind w:left="720"/>
    </w:pPr>
    <w:rPr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4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4F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30CA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E7588"/>
    <w:pPr>
      <w:spacing w:beforeAutospacing="1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unhideWhenUsed/>
    <w:rsid w:val="00D6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unhideWhenUsed/>
    <w:rsid w:val="00D656F1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13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_x0023_3 xmlns="245fe519-5be8-476f-8d70-4c5ccf10eb4b" xsi:nil="true"/>
    <Theme_x0020__x0023_1 xmlns="245fe519-5be8-476f-8d70-4c5ccf10eb4b" xsi:nil="true"/>
    <Brands xmlns="245fe519-5be8-476f-8d70-4c5ccf10eb4b" xsi:nil="true"/>
    <Comex_x0020_member xmlns="245fe519-5be8-476f-8d70-4c5ccf10eb4b" xsi:nil="true"/>
    <Theme_x0020__x0023_2 xmlns="245fe519-5be8-476f-8d70-4c5ccf10eb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A9EBEB72AE0459F99CB2C1BE248A7" ma:contentTypeVersion="21" ma:contentTypeDescription="Crée un document." ma:contentTypeScope="" ma:versionID="2569cd55eb90a79aa2ea11b1b5b49279">
  <xsd:schema xmlns:xsd="http://www.w3.org/2001/XMLSchema" xmlns:xs="http://www.w3.org/2001/XMLSchema" xmlns:p="http://schemas.microsoft.com/office/2006/metadata/properties" xmlns:ns2="245fe519-5be8-476f-8d70-4c5ccf10eb4b" xmlns:ns3="0ac0fd0f-9396-4e4e-a066-be8e74968f63" targetNamespace="http://schemas.microsoft.com/office/2006/metadata/properties" ma:root="true" ma:fieldsID="98b1b1e7d6ba0c34f7bbe970a3195c4e" ns2:_="" ns3:_="">
    <xsd:import namespace="245fe519-5be8-476f-8d70-4c5ccf10eb4b"/>
    <xsd:import namespace="0ac0fd0f-9396-4e4e-a066-be8e74968f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heme_x0020__x0023_3" minOccurs="0"/>
                <xsd:element ref="ns2:Brands" minOccurs="0"/>
                <xsd:element ref="ns2:Comex_x0020_member" minOccurs="0"/>
                <xsd:element ref="ns2:Theme_x0020__x0023_1" minOccurs="0"/>
                <xsd:element ref="ns2:Theme_x0020__x0023_2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519-5be8-476f-8d70-4c5ccf10e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heme_x0020__x0023_3" ma:index="14" nillable="true" ma:displayName="Theme #3" ma:format="Dropdown" ma:internalName="Theme_x0020__x0023_3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Brands" ma:index="15" nillable="true" ma:displayName="Brands" ma:format="Dropdown" ma:internalName="Brands">
      <xsd:simpleType>
        <xsd:restriction base="dms:Choice">
          <xsd:enumeration value="Accor"/>
          <xsd:enumeration value="ALL"/>
          <xsd:enumeration value="25hours Hotels"/>
          <xsd:enumeration value="Adoria"/>
          <xsd:enumeration value="Angsana"/>
          <xsd:enumeration value="Aparthotel Adagio"/>
          <xsd:enumeration value="Art Series"/>
          <xsd:enumeration value="Astore"/>
          <xsd:enumeration value="Banyan Tree"/>
          <xsd:enumeration value="Breakfree"/>
          <xsd:enumeration value="D-EDGE"/>
          <xsd:enumeration value="Delano"/>
          <xsd:enumeration value="Fairmont"/>
          <xsd:enumeration value="Gekko"/>
          <xsd:enumeration value="Grand Mercure"/>
          <xsd:enumeration value="Greet"/>
          <xsd:enumeration value="HotelF1"/>
          <xsd:enumeration value="Hyde"/>
          <xsd:enumeration value="Ibis"/>
          <xsd:enumeration value="Ibis budget"/>
          <xsd:enumeration value="Ibis Styles"/>
          <xsd:enumeration value="Jo&amp;Joe"/>
          <xsd:enumeration value="John Paul"/>
          <xsd:enumeration value="Mama Shelter"/>
          <xsd:enumeration value="Mama works"/>
          <xsd:enumeration value="Mantis"/>
          <xsd:enumeration value="Mantra"/>
          <xsd:enumeration value="Mercure"/>
          <xsd:enumeration value="MGallery Hotel Collection"/>
          <xsd:enumeration value="Mondrian"/>
          <xsd:enumeration value="Mövenpick"/>
          <xsd:enumeration value="Novotel"/>
          <xsd:enumeration value="Onefinestay"/>
          <xsd:enumeration value="Orient Express"/>
          <xsd:enumeration value="Paris Society"/>
          <xsd:enumeration value="Peppers"/>
          <xsd:enumeration value="Potel &amp; Chabot"/>
          <xsd:enumeration value="Pullman"/>
          <xsd:enumeration value="Raffles"/>
          <xsd:enumeration value="ResDiary"/>
          <xsd:enumeration value="Rixos"/>
          <xsd:enumeration value="SO/"/>
          <xsd:enumeration value="Sofitel"/>
          <xsd:enumeration value="Swissôtel"/>
          <xsd:enumeration value="Thalassa sea &amp; spa"/>
          <xsd:enumeration value="The House Of Originals"/>
          <xsd:enumeration value="The Sebel"/>
          <xsd:enumeration value="Tribe"/>
          <xsd:enumeration value="VeryChic"/>
          <xsd:enumeration value="Wojo"/>
        </xsd:restriction>
      </xsd:simpleType>
    </xsd:element>
    <xsd:element name="Comex_x0020_member" ma:index="16" nillable="true" ma:displayName="Comex member" ma:format="Dropdown" ma:internalName="Comex_x0020_member">
      <xsd:simpleType>
        <xsd:restriction base="dms:Choice">
          <xsd:enumeration value="Agnès Roquefort"/>
          <xsd:enumeration value="Alix Boulnois"/>
          <xsd:enumeration value="Brune Poirson"/>
          <xsd:enumeration value="Duncan O’Rourke"/>
          <xsd:enumeration value="Fabrice Carré"/>
          <xsd:enumeration value="Floor Bleeker"/>
          <xsd:enumeration value="Garth Simmons"/>
          <xsd:enumeration value="Gary Rosen"/>
          <xsd:enumeration value="Gaurav Bhushan"/>
          <xsd:enumeration value="Heather McCrory"/>
          <xsd:enumeration value="Jean-Jacques Morin"/>
          <xsd:enumeration value="Mark Willis"/>
          <xsd:enumeration value="Maud Bailly"/>
          <xsd:enumeration value="Patrick Mendes"/>
          <xsd:enumeration value="Sébastien Bazin"/>
          <xsd:enumeration value="Simon McGrath"/>
          <xsd:enumeration value="Stephen Alden"/>
          <xsd:enumeration value="Steven Daines"/>
          <xsd:enumeration value="Thomas Dubaere"/>
        </xsd:restriction>
      </xsd:simpleType>
    </xsd:element>
    <xsd:element name="Theme_x0020__x0023_1" ma:index="17" nillable="true" ma:displayName="Theme #1" ma:format="Dropdown" ma:internalName="Theme_x0020__x0023_1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Theme_x0020__x0023_2" ma:index="18" nillable="true" ma:displayName="Theme #2" ma:format="Dropdown" ma:internalName="Theme_x0020__x0023_2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0fd0f-9396-4e4e-a066-be8e7496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65785-1647-4C58-941B-016861274E5F}">
  <ds:schemaRefs>
    <ds:schemaRef ds:uri="http://schemas.microsoft.com/office/2006/metadata/properties"/>
    <ds:schemaRef ds:uri="http://schemas.microsoft.com/office/infopath/2007/PartnerControls"/>
    <ds:schemaRef ds:uri="245fe519-5be8-476f-8d70-4c5ccf10eb4b"/>
  </ds:schemaRefs>
</ds:datastoreItem>
</file>

<file path=customXml/itemProps2.xml><?xml version="1.0" encoding="utf-8"?>
<ds:datastoreItem xmlns:ds="http://schemas.openxmlformats.org/officeDocument/2006/customXml" ds:itemID="{6E9999EE-5A4A-4ADC-BAC8-1F461AC3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fe519-5be8-476f-8d70-4c5ccf10eb4b"/>
    <ds:schemaRef ds:uri="0ac0fd0f-9396-4e4e-a066-be8e7496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DBABE-FAAF-436D-8DA3-FB831529D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Célina DASILVA</dc:creator>
  <dc:description/>
  <cp:lastModifiedBy>Małek, Łukasz</cp:lastModifiedBy>
  <cp:revision>5</cp:revision>
  <cp:lastPrinted>2019-05-13T07:10:00Z</cp:lastPrinted>
  <dcterms:created xsi:type="dcterms:W3CDTF">2022-03-29T08:35:00Z</dcterms:created>
  <dcterms:modified xsi:type="dcterms:W3CDTF">2022-03-31T14:46:00Z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0x0101009D4A9EBEB72AE0459F99CB2C1BE248A7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